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5D0" w:rsidRPr="009A5E35" w:rsidRDefault="007675D0">
      <w:pPr>
        <w:jc w:val="center"/>
        <w:rPr>
          <w:rFonts w:ascii="宋体" w:cs="宋体"/>
          <w:b/>
          <w:bCs/>
          <w:sz w:val="32"/>
          <w:szCs w:val="32"/>
        </w:rPr>
      </w:pPr>
      <w:bookmarkStart w:id="0" w:name="_GoBack"/>
      <w:bookmarkStart w:id="1" w:name="OLE_LINK1"/>
      <w:bookmarkStart w:id="2" w:name="OLE_LINK2"/>
      <w:bookmarkEnd w:id="0"/>
      <w:r w:rsidRPr="009A5E35">
        <w:rPr>
          <w:rFonts w:ascii="宋体" w:hAnsi="宋体" w:cs="宋体" w:hint="eastAsia"/>
          <w:b/>
          <w:bCs/>
          <w:sz w:val="32"/>
          <w:szCs w:val="32"/>
        </w:rPr>
        <w:t>常规生化主要技术参数</w:t>
      </w:r>
      <w:bookmarkEnd w:id="1"/>
    </w:p>
    <w:tbl>
      <w:tblPr>
        <w:tblW w:w="9097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9"/>
        <w:gridCol w:w="1743"/>
        <w:gridCol w:w="6625"/>
      </w:tblGrid>
      <w:tr w:rsidR="007675D0">
        <w:trPr>
          <w:trHeight w:val="470"/>
          <w:jc w:val="center"/>
        </w:trPr>
        <w:tc>
          <w:tcPr>
            <w:tcW w:w="729" w:type="dxa"/>
            <w:tcBorders>
              <w:top w:val="single" w:sz="18" w:space="0" w:color="auto"/>
            </w:tcBorders>
            <w:vAlign w:val="center"/>
          </w:tcPr>
          <w:bookmarkEnd w:id="2"/>
          <w:p w:rsidR="007675D0" w:rsidRDefault="007675D0" w:rsidP="009A5E35">
            <w:pPr>
              <w:spacing w:line="32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43" w:type="dxa"/>
            <w:tcBorders>
              <w:top w:val="single" w:sz="18" w:space="0" w:color="auto"/>
            </w:tcBorders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项目</w:t>
            </w:r>
          </w:p>
        </w:tc>
        <w:tc>
          <w:tcPr>
            <w:tcW w:w="6625" w:type="dxa"/>
            <w:tcBorders>
              <w:top w:val="single" w:sz="18" w:space="0" w:color="auto"/>
            </w:tcBorders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内容</w:t>
            </w:r>
          </w:p>
        </w:tc>
      </w:tr>
      <w:tr w:rsidR="007675D0">
        <w:trPr>
          <w:trHeight w:val="47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分析方法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一点终点法、两点终点法、速率</w:t>
            </w:r>
            <w:r>
              <w:t>A</w:t>
            </w:r>
            <w:r>
              <w:rPr>
                <w:rFonts w:cs="宋体" w:hint="eastAsia"/>
              </w:rPr>
              <w:t>法、两点速率法等</w:t>
            </w:r>
          </w:p>
        </w:tc>
      </w:tr>
      <w:tr w:rsidR="007675D0">
        <w:trPr>
          <w:trHeight w:val="47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校准方法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一点线性、两点线性、多点线性、非线性校准等</w:t>
            </w:r>
          </w:p>
        </w:tc>
      </w:tr>
      <w:tr w:rsidR="007675D0">
        <w:trPr>
          <w:trHeight w:val="47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联机功能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支持联机功能：最多可四台仪器同时联机</w:t>
            </w:r>
          </w:p>
        </w:tc>
      </w:tr>
      <w:tr w:rsidR="007675D0">
        <w:trPr>
          <w:trHeight w:val="47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急诊功能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具有独立急诊位，急诊项目最快</w:t>
            </w:r>
            <w:r>
              <w:t>10</w:t>
            </w:r>
            <w:r>
              <w:rPr>
                <w:rFonts w:cs="宋体" w:hint="eastAsia"/>
              </w:rPr>
              <w:t>分钟出结果。</w:t>
            </w:r>
          </w:p>
        </w:tc>
      </w:tr>
      <w:tr w:rsidR="007675D0">
        <w:trPr>
          <w:trHeight w:val="47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处理能力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单台仪器每小时</w:t>
            </w:r>
            <w:r>
              <w:t>2000</w:t>
            </w:r>
            <w:r>
              <w:rPr>
                <w:rFonts w:cs="宋体" w:hint="eastAsia"/>
              </w:rPr>
              <w:t>的测试通量，电解质分析单元</w:t>
            </w:r>
            <w:r>
              <w:t>900</w:t>
            </w:r>
            <w:r>
              <w:rPr>
                <w:rFonts w:cs="宋体" w:hint="eastAsia"/>
              </w:rPr>
              <w:t>测试</w:t>
            </w:r>
            <w:r>
              <w:t>/</w:t>
            </w:r>
            <w:r>
              <w:rPr>
                <w:rFonts w:cs="宋体" w:hint="eastAsia"/>
              </w:rPr>
              <w:t>小时</w:t>
            </w:r>
          </w:p>
        </w:tc>
      </w:tr>
      <w:tr w:rsidR="007675D0">
        <w:trPr>
          <w:trHeight w:val="47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自动</w:t>
            </w:r>
            <w:r>
              <w:t>/</w:t>
            </w:r>
            <w:r>
              <w:rPr>
                <w:rFonts w:cs="宋体" w:hint="eastAsia"/>
              </w:rPr>
              <w:t>智能化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·</w:t>
            </w:r>
            <w:r>
              <w:t xml:space="preserve"> </w:t>
            </w:r>
            <w:r>
              <w:rPr>
                <w:rFonts w:cs="宋体" w:hint="eastAsia"/>
              </w:rPr>
              <w:t>糖化血红蛋白机内溶血</w:t>
            </w:r>
          </w:p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·</w:t>
            </w:r>
            <w:r>
              <w:t xml:space="preserve"> </w:t>
            </w:r>
            <w:r>
              <w:rPr>
                <w:rFonts w:cs="宋体" w:hint="eastAsia"/>
              </w:rPr>
              <w:t>交叉污染自动规避，支持试剂间、样本间、反应杯间交叉污染自动规避，有效提高测试结果质量</w:t>
            </w:r>
          </w:p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·</w:t>
            </w:r>
            <w:r>
              <w:t xml:space="preserve"> </w:t>
            </w:r>
            <w:r>
              <w:rPr>
                <w:rFonts w:cs="宋体" w:hint="eastAsia"/>
              </w:rPr>
              <w:t>液面探测技术，适用于多种介质</w:t>
            </w:r>
          </w:p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·</w:t>
            </w:r>
            <w:r>
              <w:t xml:space="preserve"> </w:t>
            </w:r>
            <w:r>
              <w:rPr>
                <w:rFonts w:cs="宋体" w:hint="eastAsia"/>
              </w:rPr>
              <w:t>样本针堵塞检测功能，自动检测吸样时异常并发出警报</w:t>
            </w:r>
          </w:p>
        </w:tc>
      </w:tr>
      <w:tr w:rsidR="007675D0">
        <w:trPr>
          <w:trHeight w:val="398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样本加载方式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轨道式循环进样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样本载架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每个样本架可放置</w:t>
            </w:r>
            <w:r>
              <w:t>10</w:t>
            </w:r>
            <w:r>
              <w:rPr>
                <w:rFonts w:cs="宋体" w:hint="eastAsia"/>
              </w:rPr>
              <w:t>个样本杯或试管。支持同时在机装载大于</w:t>
            </w:r>
            <w:r>
              <w:t>600</w:t>
            </w:r>
            <w:r>
              <w:rPr>
                <w:rFonts w:cs="宋体" w:hint="eastAsia"/>
              </w:rPr>
              <w:t>个样本（</w:t>
            </w:r>
            <w:r>
              <w:t>300</w:t>
            </w:r>
            <w:r>
              <w:rPr>
                <w:rFonts w:cs="宋体" w:hint="eastAsia"/>
              </w:rPr>
              <w:t>进样</w:t>
            </w:r>
            <w:r>
              <w:t>+300</w:t>
            </w:r>
            <w:r>
              <w:rPr>
                <w:rFonts w:cs="宋体" w:hint="eastAsia"/>
              </w:rPr>
              <w:t>缓冲区</w:t>
            </w:r>
            <w:r>
              <w:t>+20</w:t>
            </w:r>
            <w:r>
              <w:rPr>
                <w:rFonts w:cs="宋体" w:hint="eastAsia"/>
              </w:rPr>
              <w:t>急诊样本位）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</w:pPr>
            <w:r>
              <w:rPr>
                <w:rFonts w:cs="宋体" w:hint="eastAsia"/>
              </w:rPr>
              <w:t>样本分注量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t>2~30ul</w:t>
            </w:r>
            <w:r>
              <w:rPr>
                <w:rFonts w:cs="宋体" w:hint="eastAsia"/>
              </w:rPr>
              <w:t>，</w:t>
            </w:r>
            <w:r>
              <w:t>0.1ul</w:t>
            </w:r>
            <w:r>
              <w:rPr>
                <w:rFonts w:cs="宋体" w:hint="eastAsia"/>
              </w:rPr>
              <w:t>步进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</w:pPr>
            <w:r>
              <w:rPr>
                <w:rFonts w:cs="宋体" w:hint="eastAsia"/>
              </w:rPr>
              <w:t>样本预稀释功能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具有样本自动稀释功能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</w:pPr>
            <w:r>
              <w:rPr>
                <w:rFonts w:cs="宋体" w:hint="eastAsia"/>
              </w:rPr>
              <w:t>样本复查功能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具有样本手工复查和自动复查功能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试剂分注量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t>10~300ul</w:t>
            </w:r>
            <w:r>
              <w:rPr>
                <w:rFonts w:cs="宋体" w:hint="eastAsia"/>
              </w:rPr>
              <w:t>，</w:t>
            </w:r>
            <w:r>
              <w:t>0.5ul</w:t>
            </w:r>
            <w:r>
              <w:rPr>
                <w:rFonts w:cs="宋体" w:hint="eastAsia"/>
              </w:rPr>
              <w:t>步进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color w:val="FF0000"/>
              </w:rPr>
            </w:pPr>
            <w:r>
              <w:rPr>
                <w:rFonts w:cs="宋体" w:hint="eastAsia"/>
              </w:rPr>
              <w:t>试剂位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  <w:rPr>
                <w:color w:val="FF0000"/>
              </w:rPr>
            </w:pPr>
            <w:r>
              <w:rPr>
                <w:rFonts w:cs="宋体" w:hint="eastAsia"/>
              </w:rPr>
              <w:t>双试剂盘，各</w:t>
            </w:r>
            <w:r>
              <w:t>60</w:t>
            </w:r>
            <w:r>
              <w:rPr>
                <w:rFonts w:cs="宋体" w:hint="eastAsia"/>
              </w:rPr>
              <w:t>个试剂位（包含清洗剂瓶），所有试剂冷藏保存（</w:t>
            </w:r>
            <w:r>
              <w:t>2~8</w:t>
            </w:r>
            <w:r>
              <w:rPr>
                <w:rFonts w:ascii="宋体" w:hAnsi="宋体" w:cs="宋体" w:hint="eastAsia"/>
              </w:rPr>
              <w:t>℃</w:t>
            </w:r>
            <w:r>
              <w:rPr>
                <w:rFonts w:cs="宋体" w:hint="eastAsia"/>
              </w:rPr>
              <w:t>）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bookmarkStart w:id="3" w:name="OLE_LINK3" w:colFirst="0" w:colLast="2"/>
            <w:r>
              <w:rPr>
                <w:sz w:val="24"/>
                <w:szCs w:val="24"/>
              </w:rPr>
              <w:t>14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同步分析项目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t>60</w:t>
            </w:r>
            <w:r>
              <w:rPr>
                <w:rFonts w:cs="宋体" w:hint="eastAsia"/>
              </w:rPr>
              <w:t>项（含</w:t>
            </w:r>
            <w:r>
              <w:t>ISE</w:t>
            </w:r>
            <w:r>
              <w:rPr>
                <w:rFonts w:cs="宋体" w:hint="eastAsia"/>
              </w:rPr>
              <w:t>）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反应体积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t>80-360ul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反应容器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石英比色杯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反应容器清洗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t>10</w:t>
            </w:r>
            <w:r>
              <w:rPr>
                <w:rFonts w:cs="宋体" w:hint="eastAsia"/>
              </w:rPr>
              <w:t>阶清洗（内外壁增压清洗，内外壁分离清洗技术，瀑布式外壁清洗，内壁高压清洗，减少携带污染）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反应位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转盘方式，内外双圈设计，</w:t>
            </w:r>
            <w:r>
              <w:t>418</w:t>
            </w:r>
            <w:r>
              <w:rPr>
                <w:rFonts w:cs="宋体" w:hint="eastAsia"/>
              </w:rPr>
              <w:t>个反应位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反应时间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t>10-22</w:t>
            </w:r>
            <w:r>
              <w:rPr>
                <w:rFonts w:cs="宋体" w:hint="eastAsia"/>
              </w:rPr>
              <w:t>分钟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反应温度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t>37±0.1</w:t>
            </w:r>
            <w:r>
              <w:rPr>
                <w:rFonts w:ascii="宋体" w:hAnsi="宋体" w:cs="宋体" w:hint="eastAsia"/>
              </w:rPr>
              <w:t>℃</w:t>
            </w:r>
            <w:r>
              <w:rPr>
                <w:rFonts w:cs="宋体" w:hint="eastAsia"/>
              </w:rPr>
              <w:t>（固体直热）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分光系统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全息凹面平像场光栅后分光，</w:t>
            </w:r>
            <w:r>
              <w:t>14</w:t>
            </w:r>
            <w:r>
              <w:rPr>
                <w:rFonts w:cs="宋体" w:hint="eastAsia"/>
              </w:rPr>
              <w:t>波长（</w:t>
            </w:r>
            <w:r>
              <w:t>340</w:t>
            </w:r>
            <w:r>
              <w:rPr>
                <w:rFonts w:cs="宋体" w:hint="eastAsia"/>
              </w:rPr>
              <w:t>、</w:t>
            </w:r>
            <w:r>
              <w:t>405</w:t>
            </w:r>
            <w:r>
              <w:rPr>
                <w:rFonts w:cs="宋体" w:hint="eastAsia"/>
              </w:rPr>
              <w:t>、</w:t>
            </w:r>
            <w:r>
              <w:t>450</w:t>
            </w:r>
            <w:r>
              <w:rPr>
                <w:rFonts w:cs="宋体" w:hint="eastAsia"/>
              </w:rPr>
              <w:t>、</w:t>
            </w:r>
            <w:r>
              <w:t>478</w:t>
            </w:r>
            <w:r>
              <w:rPr>
                <w:rFonts w:cs="宋体" w:hint="eastAsia"/>
              </w:rPr>
              <w:t>、</w:t>
            </w:r>
            <w:r>
              <w:t>505</w:t>
            </w:r>
            <w:r>
              <w:rPr>
                <w:rFonts w:cs="宋体" w:hint="eastAsia"/>
              </w:rPr>
              <w:t>、</w:t>
            </w:r>
            <w:r>
              <w:t>542</w:t>
            </w:r>
            <w:r>
              <w:rPr>
                <w:rFonts w:cs="宋体" w:hint="eastAsia"/>
              </w:rPr>
              <w:t>、</w:t>
            </w:r>
            <w:r>
              <w:t>570</w:t>
            </w:r>
            <w:r>
              <w:rPr>
                <w:rFonts w:cs="宋体" w:hint="eastAsia"/>
              </w:rPr>
              <w:t>、</w:t>
            </w:r>
            <w:r>
              <w:t>605</w:t>
            </w:r>
            <w:r>
              <w:rPr>
                <w:rFonts w:cs="宋体" w:hint="eastAsia"/>
              </w:rPr>
              <w:t>、</w:t>
            </w:r>
            <w:r>
              <w:t>630</w:t>
            </w:r>
            <w:r>
              <w:rPr>
                <w:rFonts w:cs="宋体" w:hint="eastAsia"/>
              </w:rPr>
              <w:t>、</w:t>
            </w:r>
            <w:r>
              <w:t>660</w:t>
            </w:r>
            <w:r>
              <w:rPr>
                <w:rFonts w:cs="宋体" w:hint="eastAsia"/>
              </w:rPr>
              <w:t>、</w:t>
            </w:r>
            <w:r>
              <w:t>700</w:t>
            </w:r>
            <w:r>
              <w:rPr>
                <w:rFonts w:cs="宋体" w:hint="eastAsia"/>
              </w:rPr>
              <w:t>、</w:t>
            </w:r>
            <w:r>
              <w:t>750</w:t>
            </w:r>
            <w:r>
              <w:rPr>
                <w:rFonts w:cs="宋体" w:hint="eastAsia"/>
              </w:rPr>
              <w:t>、</w:t>
            </w:r>
            <w:r>
              <w:t>805</w:t>
            </w:r>
            <w:r>
              <w:rPr>
                <w:rFonts w:cs="宋体" w:hint="eastAsia"/>
              </w:rPr>
              <w:t>、</w:t>
            </w:r>
            <w:r>
              <w:t>850nm</w:t>
            </w:r>
            <w:r>
              <w:rPr>
                <w:rFonts w:cs="宋体" w:hint="eastAsia"/>
              </w:rPr>
              <w:t>）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吸光度范围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多波长，</w:t>
            </w:r>
            <w:r>
              <w:t>0~3.6A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搅拌方式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双相桨式搅拌棒搅拌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</w:pPr>
            <w:r>
              <w:rPr>
                <w:rFonts w:cs="宋体" w:hint="eastAsia"/>
              </w:rPr>
              <w:t>操作系统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t>24</w:t>
            </w:r>
            <w:r>
              <w:rPr>
                <w:rFonts w:cs="宋体" w:hint="eastAsia"/>
              </w:rPr>
              <w:t>寸显示器，中文操作界面，实时显示测试进程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743" w:type="dxa"/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</w:pPr>
            <w:r>
              <w:rPr>
                <w:rFonts w:cs="宋体" w:hint="eastAsia"/>
              </w:rPr>
              <w:t>监视功能</w:t>
            </w:r>
          </w:p>
        </w:tc>
        <w:tc>
          <w:tcPr>
            <w:tcW w:w="6625" w:type="dxa"/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反应过程监视、数据监视、反应曲线等</w:t>
            </w:r>
          </w:p>
        </w:tc>
      </w:tr>
      <w:tr w:rsidR="007675D0">
        <w:trPr>
          <w:trHeight w:val="90"/>
          <w:jc w:val="center"/>
        </w:trPr>
        <w:tc>
          <w:tcPr>
            <w:tcW w:w="729" w:type="dxa"/>
            <w:tcBorders>
              <w:bottom w:val="single" w:sz="18" w:space="0" w:color="auto"/>
            </w:tcBorders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743" w:type="dxa"/>
            <w:tcBorders>
              <w:bottom w:val="single" w:sz="18" w:space="0" w:color="auto"/>
            </w:tcBorders>
            <w:vAlign w:val="center"/>
          </w:tcPr>
          <w:p w:rsidR="007675D0" w:rsidRDefault="007675D0" w:rsidP="009A5E35">
            <w:pPr>
              <w:widowControl/>
              <w:spacing w:line="320" w:lineRule="exact"/>
              <w:jc w:val="center"/>
            </w:pPr>
            <w:r>
              <w:rPr>
                <w:rFonts w:cs="宋体" w:hint="eastAsia"/>
              </w:rPr>
              <w:t>软件系统</w:t>
            </w:r>
          </w:p>
          <w:p w:rsidR="007675D0" w:rsidRDefault="007675D0" w:rsidP="009A5E35">
            <w:pPr>
              <w:widowControl/>
              <w:spacing w:line="320" w:lineRule="exact"/>
              <w:jc w:val="center"/>
            </w:pPr>
            <w:r>
              <w:rPr>
                <w:rFonts w:cs="宋体" w:hint="eastAsia"/>
              </w:rPr>
              <w:t>与接口</w:t>
            </w:r>
          </w:p>
        </w:tc>
        <w:tc>
          <w:tcPr>
            <w:tcW w:w="6625" w:type="dxa"/>
            <w:tcBorders>
              <w:bottom w:val="single" w:sz="18" w:space="0" w:color="auto"/>
            </w:tcBorders>
            <w:vAlign w:val="center"/>
          </w:tcPr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·</w:t>
            </w:r>
            <w:r>
              <w:t xml:space="preserve"> </w:t>
            </w:r>
            <w:r>
              <w:rPr>
                <w:rFonts w:cs="宋体" w:hint="eastAsia"/>
              </w:rPr>
              <w:t>通过全自动生化分析仪软件系统查看结果和发放检验报告，也可以与采购方实验室管理系统</w:t>
            </w:r>
            <w:r>
              <w:t>Liswell</w:t>
            </w:r>
            <w:r>
              <w:rPr>
                <w:rFonts w:cs="宋体" w:hint="eastAsia"/>
              </w:rPr>
              <w:t>软件连接，发放检验报告；</w:t>
            </w:r>
          </w:p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·</w:t>
            </w:r>
            <w:r>
              <w:t xml:space="preserve"> </w:t>
            </w:r>
            <w:r>
              <w:rPr>
                <w:rFonts w:cs="宋体" w:hint="eastAsia"/>
              </w:rPr>
              <w:t>数据输入：系统进行扫描条码识别，同时可接受样本的条码输入；</w:t>
            </w:r>
          </w:p>
          <w:p w:rsidR="007675D0" w:rsidRDefault="007675D0" w:rsidP="009A5E35">
            <w:pPr>
              <w:spacing w:line="320" w:lineRule="exact"/>
            </w:pPr>
            <w:r>
              <w:rPr>
                <w:rFonts w:cs="宋体" w:hint="eastAsia"/>
              </w:rPr>
              <w:t>·</w:t>
            </w:r>
            <w:r>
              <w:t xml:space="preserve"> </w:t>
            </w:r>
            <w:r>
              <w:rPr>
                <w:rFonts w:cs="宋体" w:hint="eastAsia"/>
              </w:rPr>
              <w:t>数据输出：整套设备可与实验室配套信息管理软件对接，实现有效的智能化信息管理。</w:t>
            </w:r>
          </w:p>
        </w:tc>
        <w:bookmarkEnd w:id="3"/>
      </w:tr>
    </w:tbl>
    <w:p w:rsidR="007675D0" w:rsidRDefault="007675D0" w:rsidP="009A5E35">
      <w:pPr>
        <w:spacing w:line="320" w:lineRule="exact"/>
        <w:rPr>
          <w:b/>
          <w:bCs/>
          <w:sz w:val="22"/>
          <w:szCs w:val="22"/>
        </w:rPr>
      </w:pPr>
    </w:p>
    <w:sectPr w:rsidR="007675D0" w:rsidSect="00E261CD">
      <w:headerReference w:type="default" r:id="rId6"/>
      <w:footerReference w:type="default" r:id="rId7"/>
      <w:pgSz w:w="11906" w:h="16838"/>
      <w:pgMar w:top="113" w:right="607" w:bottom="170" w:left="607" w:header="680" w:footer="680" w:gutter="0"/>
      <w:pgNumType w:fmt="chineseCounting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75D0" w:rsidRDefault="007675D0" w:rsidP="00E261CD">
      <w:r>
        <w:separator/>
      </w:r>
    </w:p>
  </w:endnote>
  <w:endnote w:type="continuationSeparator" w:id="0">
    <w:p w:rsidR="007675D0" w:rsidRDefault="007675D0" w:rsidP="00E261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5D0" w:rsidRDefault="007675D0">
    <w:pPr>
      <w:pStyle w:val="Footer"/>
      <w:jc w:val="center"/>
    </w:pPr>
    <w:r>
      <w:rPr>
        <w:noProof/>
      </w:rPr>
      <w:pict>
        <v:rect id="4097" o:spid="_x0000_s2049" style="position:absolute;left:0;text-align:left;margin-left:104pt;margin-top:0;width:2in;height:2in;z-index:251660288;visibility:visible;mso-wrap-style:none;mso-wrap-distance-left:0;mso-wrap-distance-right:0;mso-position-horizontal:right;mso-position-horizontal-relative:margin" filled="f" stroked="f" strokeweight=".5pt">
          <v:textbox style="mso-fit-shape-to-text:t" inset="0,0,0,0">
            <w:txbxContent>
              <w:p w:rsidR="007675D0" w:rsidRDefault="007675D0">
                <w:pPr>
                  <w:pStyle w:val="Footer"/>
                </w:pPr>
                <w:r>
                  <w:rPr>
                    <w:rFonts w:cs="宋体" w:hint="eastAsia"/>
                  </w:rPr>
                  <w:t>第</w:t>
                </w:r>
                <w:r>
                  <w:t xml:space="preserve"> </w:t>
                </w:r>
                <w:fldSimple w:instr=" PAGE  \* MERGEFORMAT ">
                  <w:r>
                    <w:rPr>
                      <w:rFonts w:cs="宋体" w:hint="eastAsia"/>
                      <w:noProof/>
                    </w:rPr>
                    <w:t>一</w:t>
                  </w:r>
                </w:fldSimple>
                <w:r>
                  <w:t xml:space="preserve"> </w:t>
                </w:r>
                <w:r>
                  <w:rPr>
                    <w:rFonts w:cs="宋体" w:hint="eastAsia"/>
                  </w:rPr>
                  <w:t>页</w:t>
                </w:r>
                <w:r>
                  <w:t xml:space="preserve"> </w:t>
                </w:r>
                <w:r>
                  <w:rPr>
                    <w:rFonts w:cs="宋体" w:hint="eastAsia"/>
                  </w:rPr>
                  <w:t>共</w:t>
                </w:r>
                <w:r>
                  <w:t xml:space="preserve"> </w:t>
                </w:r>
                <w:fldSimple w:instr=" NUMPAGES \* CHINESENUM3 \* MERGEFORMAT ">
                  <w:r>
                    <w:rPr>
                      <w:rFonts w:cs="宋体" w:hint="eastAsia"/>
                      <w:noProof/>
                    </w:rPr>
                    <w:t>一</w:t>
                  </w:r>
                </w:fldSimple>
                <w:r>
                  <w:t xml:space="preserve"> </w:t>
                </w:r>
                <w:r>
                  <w:rPr>
                    <w:rFonts w:cs="宋体" w:hint="eastAsia"/>
                  </w:rPr>
                  <w:t>页</w:t>
                </w:r>
              </w:p>
            </w:txbxContent>
          </v:textbox>
          <w10:wrap anchorx="margin"/>
        </v:rect>
      </w:pict>
    </w:r>
  </w:p>
  <w:p w:rsidR="007675D0" w:rsidRDefault="007675D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75D0" w:rsidRDefault="007675D0" w:rsidP="00E261CD">
      <w:r>
        <w:separator/>
      </w:r>
    </w:p>
  </w:footnote>
  <w:footnote w:type="continuationSeparator" w:id="0">
    <w:p w:rsidR="007675D0" w:rsidRDefault="007675D0" w:rsidP="00E261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5D0" w:rsidRDefault="007675D0">
    <w:pPr>
      <w:pStyle w:val="Header"/>
      <w:pBdr>
        <w:bottom w:val="none" w:sz="0" w:space="0" w:color="auto"/>
      </w:pBdr>
      <w:tabs>
        <w:tab w:val="left" w:pos="2536"/>
        <w:tab w:val="right" w:pos="8537"/>
      </w:tabs>
      <w:jc w:val="right"/>
      <w:rPr>
        <w:rFonts w:ascii="楷体" w:eastAsia="楷体" w:hAnsi="楷体"/>
        <w:sz w:val="21"/>
        <w:szCs w:val="21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61CD"/>
    <w:rsid w:val="00693E20"/>
    <w:rsid w:val="007675D0"/>
    <w:rsid w:val="008050E8"/>
    <w:rsid w:val="009A5E35"/>
    <w:rsid w:val="00D97B09"/>
    <w:rsid w:val="00DE3F61"/>
    <w:rsid w:val="00E26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1CD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261CD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261CD"/>
    <w:pPr>
      <w:keepNext/>
      <w:keepLines/>
      <w:spacing w:before="260" w:after="260" w:line="413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0565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05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rsid w:val="00E261C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565"/>
    <w:rPr>
      <w:sz w:val="0"/>
      <w:szCs w:val="0"/>
    </w:rPr>
  </w:style>
  <w:style w:type="paragraph" w:styleId="Footer">
    <w:name w:val="footer"/>
    <w:basedOn w:val="Normal"/>
    <w:link w:val="FooterChar"/>
    <w:uiPriority w:val="99"/>
    <w:rsid w:val="00E26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261CD"/>
    <w:rPr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E26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261CD"/>
    <w:rPr>
      <w:kern w:val="2"/>
      <w:sz w:val="18"/>
      <w:szCs w:val="18"/>
    </w:rPr>
  </w:style>
  <w:style w:type="character" w:styleId="Strong">
    <w:name w:val="Strong"/>
    <w:basedOn w:val="DefaultParagraphFont"/>
    <w:uiPriority w:val="99"/>
    <w:qFormat/>
    <w:rsid w:val="00E261CD"/>
    <w:rPr>
      <w:b/>
      <w:bCs/>
    </w:rPr>
  </w:style>
  <w:style w:type="character" w:styleId="Emphasis">
    <w:name w:val="Emphasis"/>
    <w:basedOn w:val="DefaultParagraphFont"/>
    <w:uiPriority w:val="99"/>
    <w:qFormat/>
    <w:rsid w:val="00E261CD"/>
    <w:rPr>
      <w:i/>
      <w:iCs/>
    </w:rPr>
  </w:style>
  <w:style w:type="character" w:customStyle="1" w:styleId="tcnt3">
    <w:name w:val="tcnt3"/>
    <w:basedOn w:val="DefaultParagraphFont"/>
    <w:uiPriority w:val="99"/>
    <w:rsid w:val="00E261CD"/>
  </w:style>
  <w:style w:type="character" w:customStyle="1" w:styleId="so-ask-best">
    <w:name w:val="so-ask-best"/>
    <w:basedOn w:val="DefaultParagraphFont"/>
    <w:uiPriority w:val="99"/>
    <w:rsid w:val="00E261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154</Words>
  <Characters>882</Characters>
  <Application>Microsoft Office Outlook</Application>
  <DocSecurity>0</DocSecurity>
  <Lines>0</Lines>
  <Paragraphs>0</Paragraphs>
  <ScaleCrop>false</ScaleCrop>
  <Company>Micosoft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核酸检测设备参数对比表 2015</dc:title>
  <dc:subject/>
  <dc:creator>China User</dc:creator>
  <cp:keywords/>
  <dc:description/>
  <cp:lastModifiedBy>Windows 用户</cp:lastModifiedBy>
  <cp:revision>2</cp:revision>
  <cp:lastPrinted>2025-05-27T01:22:00Z</cp:lastPrinted>
  <dcterms:created xsi:type="dcterms:W3CDTF">2025-05-27T01:22:00Z</dcterms:created>
  <dcterms:modified xsi:type="dcterms:W3CDTF">2025-05-27T01:22:00Z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b0a11e306b7844b893aaeec4f736d931_23</vt:lpwstr>
  </property>
</Properties>
</file>